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it-IT"/>
        </w:rPr>
        <w:t xml:space="preserve"> </w:t>
      </w:r>
    </w:p>
    <w:tbl>
      <w:tblPr>
        <w:tblW w:w="102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5"/>
        <w:gridCol w:w="1425"/>
        <w:gridCol w:w="2400"/>
        <w:gridCol w:w="303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12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UDA - OrientaMenti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DESCRIZIONE E ANNO DI CORSO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CODICE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Elementi identificativi dei destinatari dell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UdA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before="120" w:after="120"/>
            </w:pPr>
            <w:r>
              <w:rPr>
                <w:i w:val="0"/>
                <w:i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Classe Biennio xxx</w:t>
            </w:r>
          </w:p>
        </w:tc>
      </w:tr>
      <w:tr>
        <w:tblPrEx>
          <w:shd w:val="clear" w:color="auto" w:fill="ced7e7"/>
        </w:tblPrEx>
        <w:trPr>
          <w:trHeight w:val="885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Titolo UdA </w:t>
            </w:r>
          </w:p>
        </w:tc>
        <w:tc>
          <w:tcPr>
            <w:tcW w:type="dxa" w:w="6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titolo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Laboratorio orientamenti: la mia identit</w:t>
            </w:r>
            <w:r>
              <w:rPr>
                <w:b w:val="0"/>
                <w:b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b w:val="0"/>
                <w:b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 la conoscenza dell</w:t>
            </w:r>
            <w:r>
              <w:rPr>
                <w:b w:val="0"/>
                <w:b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b w:val="0"/>
                <w:bCs w:val="0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ambiente che mi circonda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102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Individuare conoscenze e abilit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in relazione alle competenze orientative specifiche (non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necessario lavorare su tutte le competenze ma piuttosto selezionarne solo alcune)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Asse di riferimento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[discipline coinvolte]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CONOSCENZE</w:t>
            </w:r>
            <w:r>
              <w:rPr>
                <w:shd w:val="nil" w:color="auto" w:fill="auto"/>
              </w:rPr>
            </w:r>
          </w:p>
        </w:tc>
        <w:tc>
          <w:tcPr>
            <w:tcW w:type="dxa" w:w="3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ABILIT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761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Competenze orientative specifiche</w:t>
            </w:r>
            <w:r>
              <w:rPr>
                <w:b w:val="1"/>
                <w:bCs w:val="1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1)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Saper analizzare le proprie risorse in termini di interessi e attitudini, di saperi e competenze.</w:t>
            </w:r>
            <w:r>
              <w:rPr>
                <w:b w:val="0"/>
                <w:bCs w:val="0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2) Saper esaminare le opportunit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e le risorse a disposizione, ma anche vincoli e condizionamenti che regolano la societ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e il mondo del Lavoro.</w:t>
            </w:r>
            <w:r>
              <w:rPr>
                <w:b w:val="0"/>
                <w:bCs w:val="0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3) Mettere in relazione opportunit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e vincoli in modo da trarne indicazioni per scegliere.</w:t>
            </w:r>
            <w:r>
              <w:rPr>
                <w:b w:val="0"/>
                <w:bCs w:val="0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4)Assumere decisioni e perseguire gli obiettivi.</w:t>
            </w:r>
            <w:r>
              <w:rPr>
                <w:b w:val="0"/>
                <w:bCs w:val="0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5) Progettare il proprio futuro e declinarne lo sviluppo.</w:t>
            </w:r>
            <w:r>
              <w:rPr>
                <w:b w:val="0"/>
                <w:bCs w:val="0"/>
                <w:shd w:val="nil" w:color="auto" w:fill="auto"/>
                <w:lang w:val="it-IT"/>
              </w:rPr>
              <w:br w:type="textWrapping"/>
              <w:br w:type="textWrapping"/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6)Monitorare e valutare le azioni realizzate e lo sviluppo del progetto.</w:t>
            </w:r>
          </w:p>
        </w:tc>
        <w:tc>
          <w:tcPr>
            <w:tcW w:type="dxa" w:w="1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rPr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di compilazione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  <w:br w:type="textWrapping"/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Italiano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Diritto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Educazione Civica</w:t>
            </w:r>
          </w:p>
        </w:tc>
        <w:tc>
          <w:tcPr>
            <w:tcW w:type="dxa" w:w="2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di compilazione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 Sapere come costruire una identit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personale: caratteristiche personali</w:t>
            </w:r>
          </w:p>
          <w:p>
            <w:pPr>
              <w:pStyle w:val="normal.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-Identit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sociale: dimensione fisica, sociale, psicologica</w:t>
            </w:r>
          </w:p>
          <w:p>
            <w:pPr>
              <w:pStyle w:val="normal.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-Emozioni primarie, secondarie e sentimentali</w:t>
            </w:r>
          </w:p>
          <w:p>
            <w:pPr>
              <w:pStyle w:val="normal.0"/>
              <w:widowControl w:val="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 Chiarire il concetto di identit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individuale (io)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 comprendere che l'identit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individuale si connette con individualit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collettive (noi)</w:t>
            </w:r>
          </w:p>
          <w:p>
            <w:pPr>
              <w:pStyle w:val="normal.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-Saper individuare le identit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collettive</w:t>
            </w:r>
          </w:p>
        </w:tc>
        <w:tc>
          <w:tcPr>
            <w:tcW w:type="dxa" w:w="3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di compilazione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-Manifestare il senso di appartenenza: riconoscere figure parentali e del luogo dove si vive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-Riconoscere ed esprimere verbalmente i propri sentimenti 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le proprie emozioni 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-Manifestare interesse per i membri del gruppo: ascoltare,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interagire nella comunicazione, nel gioco, nel lavoro</w:t>
            </w:r>
          </w:p>
          <w:p>
            <w:pPr>
              <w:pStyle w:val="normal.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-Usare il linguaggio per interagire con gli altri mostrando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fiducia nelle proprie capacit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comunicative, ponendo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domande, esprimendo sentimenti, azioni e avvenimenti </w:t>
            </w:r>
          </w:p>
          <w:p>
            <w:pPr>
              <w:pStyle w:val="normal.0"/>
              <w:spacing w:after="0" w:line="240" w:lineRule="auto"/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-Rappresentare sul piano grafico-pittorico, sentimenti,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pensieri, la propria e reale visione della realt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à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</w:p>
    <w:tbl>
      <w:tblPr>
        <w:tblW w:w="102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5"/>
        <w:gridCol w:w="6855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MATERIE</w:t>
            </w:r>
          </w:p>
        </w:tc>
      </w:tr>
      <w:tr>
        <w:tblPrEx>
          <w:shd w:val="clear" w:color="auto" w:fill="ced7e7"/>
        </w:tblPrEx>
        <w:trPr>
          <w:trHeight w:val="2523" w:hRule="atLeast"/>
        </w:trPr>
        <w:tc>
          <w:tcPr>
            <w:tcW w:type="dxa" w:w="3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MATERIE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Insegnamenti coinvolti 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L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UdA prevede il coinvolgimento di tutti i docenti del Consiglio di Classe con specifici interventi dei Tutor PFI che si affiancheranno ai propri studenti. Predominante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il ruolo svolto dai docenti delle materie professionalizzanti</w:t>
            </w:r>
          </w:p>
        </w:tc>
        <w:tc>
          <w:tcPr>
            <w:tcW w:type="dxa" w:w="6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numPr>
                <w:ilvl w:val="0"/>
                <w:numId w:val="1"/>
              </w:numPr>
              <w:spacing w:after="0" w:line="240" w:lineRule="auto"/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72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di compilazione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72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Discipline di indirizzo professionalizzante</w:t>
            </w:r>
            <w:r>
              <w:rPr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Discipline di area generale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72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Docente di TIC ( in particolare fase 4)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720" w:right="0" w:firstLine="0"/>
              <w:jc w:val="left"/>
              <w:rPr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Tutor PFI per interventi personalizzati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lang w:val="it-IT"/>
              </w:rPr>
              <w:br w:type="textWrapping"/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</w:pPr>
    </w:p>
    <w:tbl>
      <w:tblPr>
        <w:tblW w:w="102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0"/>
        <w:gridCol w:w="3665"/>
        <w:gridCol w:w="160"/>
        <w:gridCol w:w="2700"/>
        <w:gridCol w:w="1995"/>
        <w:gridCol w:w="1035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INFORMAZIONI</w:t>
            </w:r>
          </w:p>
        </w:tc>
      </w:tr>
      <w:tr>
        <w:tblPrEx>
          <w:shd w:val="clear" w:color="auto" w:fill="ced7e7"/>
        </w:tblPrEx>
        <w:trPr>
          <w:trHeight w:val="1097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Monte ore complessivo 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outline w:val="0"/>
                <w:color w:val="ff0000"/>
                <w:u w:color="ff0000"/>
                <w:shd w:val="nil" w:color="auto" w:fill="auto"/>
                <w:lang w:val="it-IT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30 ore di cui 20 curricolari e 10 extra-curricolari</w:t>
            </w:r>
            <w:r>
              <w:rPr>
                <w:b w:val="1"/>
                <w:bCs w:val="1"/>
                <w:shd w:val="nil" w:color="auto" w:fill="auto"/>
                <w:lang w:val="it-IT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(anche in forma di compiti a casa)</w:t>
            </w:r>
            <w:r>
              <w:rPr>
                <w:shd w:val="nil" w:color="auto" w:fill="auto"/>
                <w:lang w:val="it-IT"/>
              </w:rPr>
              <w:br w:type="textWrapping"/>
            </w:r>
            <w:r>
              <w:rPr>
                <w:shd w:val="nil" w:color="auto" w:fill="auto"/>
                <w:rtl w:val="0"/>
                <w:lang w:val="it-IT"/>
              </w:rPr>
              <w:t>Primo e Secondo Quadrimestre</w:t>
            </w:r>
          </w:p>
        </w:tc>
      </w:tr>
      <w:tr>
        <w:tblPrEx>
          <w:shd w:val="clear" w:color="auto" w:fill="ced7e7"/>
        </w:tblPrEx>
        <w:trPr>
          <w:trHeight w:val="412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Compito autentico/di realt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di riferimento e prodotti </w:t>
            </w:r>
          </w:p>
          <w:p>
            <w:pPr>
              <w:pStyle w:val="normal.0"/>
              <w:widowControl w:val="0"/>
              <w:spacing w:after="0" w:line="240" w:lineRule="auto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L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UdA</w:t>
            </w:r>
            <w:r>
              <w:rPr>
                <w:b w:val="1"/>
                <w:bCs w:val="1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permette agli studenti di compiere un </w:t>
            </w:r>
            <w:r>
              <w:rPr>
                <w:b w:val="1"/>
                <w:bCs w:val="1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percorso di consapevolezza sulla propria scelta di studio, valutando se corrisponde alle aspettative e alle proprie inclinazioni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. L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UdA ha inoltre l'obiettivo di indagare gli </w:t>
            </w:r>
            <w:r>
              <w:rPr>
                <w:b w:val="1"/>
                <w:bCs w:val="1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aspetti caratteriali/emotivi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che emergono nel contesto scolastico al fine di promuovere didattiche che lavorino sulla gestione delle intelligenze emotive.</w:t>
            </w:r>
          </w:p>
          <w:p>
            <w:pPr>
              <w:pStyle w:val="normal.0"/>
              <w:spacing w:after="0" w:line="240" w:lineRule="auto"/>
              <w:rPr>
                <w:outline w:val="0"/>
                <w:color w:val="171717"/>
                <w:u w:color="171717"/>
                <w:shd w:val="nil" w:color="auto" w:fill="auto"/>
                <w:lang w:val="it-IT"/>
                <w14:textFill>
                  <w14:solidFill>
                    <w14:srgbClr w14:val="171717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outline w:val="0"/>
                <w:color w:val="171717"/>
                <w:u w:color="171717"/>
                <w:shd w:val="nil" w:color="auto" w:fill="auto"/>
                <w:rtl w:val="0"/>
                <w14:textFill>
                  <w14:solidFill>
                    <w14:srgbClr w14:val="171717"/>
                  </w14:solidFill>
                </w14:textFill>
              </w:rPr>
            </w:pP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L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UdA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è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inoltre finalizzata alla compilazione delle diverse sezioni dell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’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>E-Portfolio ossia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il </w:t>
            </w:r>
            <w:r>
              <w:rPr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portfolio digitale che accompagna gli studenti durante tutto il percorso scolastico per aiutarli a fare scelte consapevoli e che consente di avere una visione completa delle esperienze formative scolastiche, extrascolastiche e delle certificazioni conseguite. 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*Esempio di Compito di realt</w:t>
            </w: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(consultare a pi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 pagina)</w:t>
            </w:r>
            <w:r>
              <w:rPr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254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Strumenti</w:t>
            </w:r>
            <w:r>
              <w:rPr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Gli strumenti saranno individuati in coerenza con le metodologie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40" w:after="240" w:line="240" w:lineRule="auto"/>
              <w:rPr>
                <w:outline w:val="0"/>
                <w:color w:val="0000ff"/>
                <w:u w:color="0000ff"/>
                <w:shd w:val="clear" w:color="auto" w:fill="ffffff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Strumenti adatti all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attivazione di metodologie didattiche 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“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attive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”</w:t>
            </w: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. Esempi: apprendimento cooperativo, apprendimento tra pari, dibattito critico, classe capovolta, didattica laboratoriale, apprendimento per problemi e per progetti, didattica potenziata dalle tecnologie.</w:t>
            </w:r>
          </w:p>
          <w:p>
            <w:pPr>
              <w:pStyle w:val="normal.0"/>
              <w:widowControl w:val="0"/>
              <w:bidi w:val="0"/>
              <w:spacing w:before="24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0000ff"/>
                <w:u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Inserimento dei contenuti nell'E-portfolio attraverso la piattaforma UNICA (accesso con login personale) </w:t>
            </w:r>
            <w:r>
              <w:rPr>
                <w:outline w:val="0"/>
                <w:color w:val="0000ff"/>
                <w:u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instrText xml:space="preserve"> HYPERLINK "https://unica.istruzione.gov.it/it/orientamento/il-tuo-percorso/e-portfolio"</w:instrText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lang w:val="it-IT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shd w:val="clear" w:color="auto" w:fill="ffffff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https://unica.istruzione.gov.it/it/orientamento/il-tuo-percorso/e-portfolio</w:t>
            </w:r>
            <w:r>
              <w:rPr>
                <w:outline w:val="0"/>
                <w:color w:val="323232"/>
                <w:u w:color="323232"/>
                <w:shd w:val="clear" w:color="auto" w:fill="ffffff"/>
                <w14:textFill>
                  <w14:solidFill>
                    <w14:srgbClr w14:val="323232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06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Conoscenze 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40" w:lineRule="auto"/>
              <w:rPr>
                <w:rStyle w:val="Nessuno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Lo studente deve dimostrare di padroneggiare a livello base le competenze previste per il Biennio e in particolare le competenze chiave di cittadinanza attiva.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Esempio di Conoscenze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-Identit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 caratteristiche personali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-Gruppi sociali riferiti all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esperienza, loro ruoli e funzioni: famiglia, scuola, comunit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 appartenenza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-Significato della regola.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-Regole fondamentali della convivenza nei gruppi di appartenenza.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-Regole per la sicurezza in casa, a scuola, nell'ambiente, in strada.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-I pericoli dell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ambiente e i comportamenti sicuri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-L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’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ambiente e la sua salvaguardia</w:t>
            </w:r>
          </w:p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Sintesi (Facoltativo)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center"/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Nessuno"/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FASI</w:t>
            </w:r>
            <w:r>
              <w:rPr>
                <w:rStyle w:val="Nessuno"/>
                <w:b w:val="1"/>
                <w:bCs w:val="1"/>
                <w:i w:val="0"/>
                <w:iCs w:val="0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Le 4 fasi individuate sono da considerarsi un piano indicativo di attivit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à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/ore/docenti da declinare 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con specifiche esigenze in ciascun CdC</w:t>
            </w:r>
            <w:r>
              <w:rPr>
                <w:rStyle w:val="Nessuno"/>
                <w:i w:val="1"/>
                <w:iCs w:val="1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Fase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Contenuti essenziali delle attivit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didattiche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Monte ore</w:t>
            </w:r>
          </w:p>
        </w:tc>
      </w:tr>
      <w:tr>
        <w:tblPrEx>
          <w:shd w:val="clear" w:color="auto" w:fill="ced7e7"/>
        </w:tblPrEx>
        <w:trPr>
          <w:trHeight w:val="490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 Essere a scuola: percorsi di senso ed emotivit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à</w:t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Questionario esplorativo a domande aperte/chiuse volto all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esplorazione delle motivazioni e delle aspettative che lo studente nutre verso il percorso di studi intrapreso al fine di riflettere sulle proprie profonde motivazioni. Inoltre una seconda parte del questionario ha 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obiettivo di indagare gli aspetti caratteriali ed emotivi e stimolare lo studente a prendere consapevolezza dei propri punti di forza e debolezza.</w:t>
            </w:r>
          </w:p>
          <w:p>
            <w:pPr>
              <w:pStyle w:val="normal.0"/>
              <w:spacing w:after="0" w:line="240" w:lineRule="auto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B) Restituzione collettiva e riflessiva sugli esiti del Questionario</w:t>
            </w:r>
          </w:p>
          <w:p>
            <w:pPr>
              <w:pStyle w:val="normal.0"/>
              <w:spacing w:after="0" w:line="240" w:lineRule="auto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C) Valutazione compito autentico</w:t>
            </w:r>
            <w:r>
              <w:rPr>
                <w:rStyle w:val="Nessuno"/>
                <w:shd w:val="nil" w:color="auto" w:fill="auto"/>
              </w:rPr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lang w:val="it-IT"/>
              </w:rPr>
              <w:br w:type="textWrapping"/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Italiano/ Materie di Indirizzo professionalizzante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outline w:val="0"/>
                <w:color w:val="0000ff"/>
                <w:u w:val="single"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Il Questionario </w:t>
            </w:r>
            <w:r>
              <w:rPr>
                <w:rStyle w:val="Nessuno"/>
                <w:outline w:val="0"/>
                <w:color w:val="0000ff"/>
                <w:u w:val="single"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è </w:t>
            </w:r>
            <w:r>
              <w:rPr>
                <w:rStyle w:val="Nessuno"/>
                <w:outline w:val="0"/>
                <w:color w:val="0000ff"/>
                <w:u w:val="single"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stato redatto dal Team Orientamento.</w:t>
            </w:r>
          </w:p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Questionario esplorativo in formato digitale 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3*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955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rPr>
                <w:rStyle w:val="Nessuno"/>
                <w:shd w:val="nil" w:color="auto" w:fill="auto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A)Progettazione, realizzazione, identificazione (qualora sia gi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stato realizzato) di un personale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“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capolavoro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inteso come prodotto/esperienza significativa che permetta allo studente di valutare se le discipline che affronta sono motivo di reale interesse.</w:t>
            </w:r>
          </w:p>
          <w:p>
            <w:pPr>
              <w:pStyle w:val="normal.0"/>
              <w:widowControl w:val="0"/>
              <w:spacing w:after="0" w:line="240" w:lineRule="auto"/>
              <w:rPr>
                <w:rStyle w:val="Nessuno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B) Valutazione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elaborato e restituzione riflessiva e collettiva </w:t>
            </w:r>
            <w:r>
              <w:rPr>
                <w:rStyle w:val="Nessuno"/>
                <w:shd w:val="nil" w:color="auto" w:fill="auto"/>
              </w:rPr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rPr>
                <w:rStyle w:val="Nessuno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Materie di Indirizzo Professionalizzanti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(non solo)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Il capolavoro potrebbe essere lo svolgimento e l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’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esito per esempio del gioco CHI SONO IO? vedere sotto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“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Compito di realt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à”</w:t>
              <w:br w:type="textWrapping"/>
            </w:r>
          </w:p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Modalit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didattiche utili alla tipologia di prodotto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  <w:t>…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  <w:rPr>
                <w:rStyle w:val="Nessuno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10*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(+ 6 ore extra-scolastiche)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218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rPr>
                <w:rStyle w:val="Nessuno"/>
                <w:outline w:val="0"/>
                <w:color w:val="171717"/>
                <w:u w:color="171717"/>
                <w:shd w:val="nil" w:color="auto" w:fill="auto"/>
                <w14:textFill>
                  <w14:solidFill>
                    <w14:srgbClr w14:val="171717"/>
                  </w14:solidFill>
                </w14:textFill>
              </w:rPr>
            </w:pP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lang w:val="it-I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A) Descrizione del proprio 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capolavoro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Style w:val="Nessuno"/>
                <w:outline w:val="0"/>
                <w:color w:val="000000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attraverso </w:t>
            </w:r>
            <w:r>
              <w:rPr>
                <w:rStyle w:val="Nessuno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riflessioni relative al percorso svolto 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B) </w:t>
            </w:r>
            <w:r>
              <w:rPr>
                <w:rStyle w:val="Nessuno"/>
                <w:outline w:val="0"/>
                <w:color w:val="171717"/>
                <w:u w:color="171717"/>
                <w:shd w:val="nil" w:color="auto" w:fill="auto"/>
                <w:rtl w:val="0"/>
                <w:lang w:val="it-IT"/>
                <w14:textFill>
                  <w14:solidFill>
                    <w14:srgbClr w14:val="171717"/>
                  </w14:solidFill>
                </w14:textFill>
              </w:rPr>
              <w:t xml:space="preserve">Riflessioni sul percorso svolto  in chiave valutativa, autovalutativa e orientativa 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rPr>
                <w:rStyle w:val="Nessuno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Materie di Indirizzo Professionalizzanti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(non solo)</w:t>
            </w:r>
          </w:p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Public speech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br w:type="textWrapping"/>
              <w:t>…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center"/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2*</w:t>
            </w:r>
          </w:p>
          <w:p>
            <w:pPr>
              <w:pStyle w:val="normal.0"/>
              <w:widowControl w:val="0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(+ 4 ore extra-scolastiche)</w:t>
            </w: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38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A) Accesso e compilazione dell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E-Portfolio da parte di ciascun studente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 cura del Docente TIC</w:t>
            </w:r>
          </w:p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lang w:val="it-IT"/>
                <w14:textFill>
                  <w14:solidFill>
                    <w14:srgbClr w14:val="0000FF"/>
                  </w14:solidFill>
                </w14:textFill>
              </w:rPr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line="240" w:lineRule="auto"/>
              <w:jc w:val="center"/>
            </w:pPr>
            <w:r>
              <w:rPr>
                <w:rStyle w:val="Nessuno"/>
                <w:outline w:val="0"/>
                <w:color w:val="0000ff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5*</w:t>
            </w:r>
          </w:p>
        </w:tc>
      </w:tr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1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40" w:lineRule="auto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REQUISITI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43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Style w:val="Nessuno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Requisiti in ingresso ed eventuali certificazioni necessarie </w:t>
            </w:r>
          </w:p>
          <w:p>
            <w:pPr>
              <w:pStyle w:val="normal.0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b w:val="0"/>
                <w:bCs w:val="0"/>
                <w:shd w:val="nil" w:color="auto" w:fill="auto"/>
                <w:rtl w:val="0"/>
                <w:lang w:val="it-IT"/>
              </w:rPr>
              <w:t>(Facoltativo)</w:t>
            </w:r>
          </w:p>
        </w:tc>
        <w:tc>
          <w:tcPr>
            <w:tcW w:type="dxa" w:w="589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  <w:spacing w:line="240" w:lineRule="auto"/>
      </w:pP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* </w:t>
      </w:r>
      <w:r>
        <w:rPr>
          <w:rStyle w:val="Nessuno"/>
          <w:rtl w:val="0"/>
          <w:lang w:val="it-IT"/>
        </w:rPr>
        <w:t>Le ore totali devono risultare 30  (20 curriculari + 10 extra-curriculari). Potranno essere modificate dal CdC le ore assegnate ad ogni singola fase a seconda delle esigenze della classe.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importante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che sia rispettato il monte ore totale.</w:t>
      </w:r>
    </w:p>
    <w:p>
      <w:pPr>
        <w:pStyle w:val="normal.0"/>
        <w:spacing w:line="240" w:lineRule="auto"/>
      </w:pPr>
    </w:p>
    <w:p>
      <w:pPr>
        <w:pStyle w:val="normal.0"/>
        <w:spacing w:after="0" w:line="240" w:lineRule="auto"/>
        <w:rPr>
          <w:rStyle w:val="Nessuno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b w:val="1"/>
          <w:bCs w:val="1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* Esempio di Compito di realt</w:t>
      </w:r>
      <w:r>
        <w:rPr>
          <w:rStyle w:val="Nessuno"/>
          <w:b w:val="1"/>
          <w:bCs w:val="1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à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(realizzato nell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’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A.S. 2023-24)</w:t>
      </w:r>
      <w:r>
        <w:rPr>
          <w:rStyle w:val="Nessuno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  <w:br w:type="textWrapping"/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Si somministra il gioco, chiedendo ai ragazzi di rispondere per 10 volte alla domanda CHI SONO IO ?</w:t>
      </w:r>
    </w:p>
    <w:p>
      <w:pPr>
        <w:pStyle w:val="normal.0"/>
        <w:spacing w:after="0" w:line="240" w:lineRule="auto"/>
        <w:rPr>
          <w:rStyle w:val="Nessuno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FASI</w:t>
      </w:r>
    </w:p>
    <w:p>
      <w:pPr>
        <w:pStyle w:val="normal.0"/>
        <w:spacing w:after="0" w:line="240" w:lineRule="auto"/>
        <w:rPr>
          <w:rStyle w:val="Nessuno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b w:val="1"/>
          <w:bCs w:val="1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1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. I partecipanti hanno 10 minuti a disposizione per presentarsi agli altri rispondendo in dieci modi diversi alla domanda CHI SONO IO.</w:t>
      </w:r>
    </w:p>
    <w:p>
      <w:pPr>
        <w:pStyle w:val="normal.0"/>
        <w:spacing w:after="0" w:line="240" w:lineRule="auto"/>
        <w:rPr>
          <w:rStyle w:val="Nessuno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Si possono usare aggettivi, sostantivi o brevi definizioni discorsive.</w:t>
      </w:r>
    </w:p>
    <w:p>
      <w:pPr>
        <w:pStyle w:val="normal.0"/>
        <w:spacing w:after="0" w:line="240" w:lineRule="auto"/>
        <w:rPr>
          <w:rStyle w:val="Nessuno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E' opportuno specificare che le risposte devono essere brevi e univoche,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è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consigliabile dunque utilizzare un solo sostantivo o un solo aggettivo per volta.</w:t>
      </w:r>
    </w:p>
    <w:p>
      <w:pPr>
        <w:pStyle w:val="normal.0"/>
        <w:spacing w:after="0" w:line="240" w:lineRule="auto"/>
        <w:rPr>
          <w:rStyle w:val="Nessuno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Si deve anche specificare che qualsiasi risposta sia che riguardi l'aspetto, sia il carattere, sia la collocazione sociale, sia qualsiasi altro tipo di identificazione o di appartenenza risulta corretta. Bisogna scrivere in modo chiaro perch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é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tutti siano in grado di leggere facilmente le risposte anche da una certa distanza.</w:t>
      </w:r>
    </w:p>
    <w:p>
      <w:pPr>
        <w:pStyle w:val="normal.0"/>
        <w:spacing w:after="0" w:line="240" w:lineRule="auto"/>
        <w:rPr>
          <w:rStyle w:val="Nessuno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b w:val="1"/>
          <w:bCs w:val="1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2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. Si leggono poi i risultati del gioco (se gli studenti si trovano in difficolt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à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a mettere il nome sul foglio si pu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ò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ricorrere all'uso di pseudonimi, in quanto l'obiettivo del gioco, in questo caso non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è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tanto quello della conoscenza reciproca quanto l'individuazione di possibili categorie di appartenenza). </w:t>
      </w:r>
    </w:p>
    <w:p>
      <w:pPr>
        <w:pStyle w:val="normal.0"/>
        <w:spacing w:after="0" w:line="240" w:lineRule="auto"/>
      </w:pPr>
      <w:r>
        <w:rPr>
          <w:rStyle w:val="Nessuno"/>
          <w:b w:val="1"/>
          <w:bCs w:val="1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3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. Realizzazione di attivit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à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con gli altri e nel rispetto degli altri, che portino alla maturazione di una propria identit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à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legata al territorio di appartenenza attraverso lo sviluppo del senso storico: legando la conoscenza degli avvenimenti alle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“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tracce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” </w:t>
      </w:r>
      <w:r>
        <w:rPr>
          <w:rStyle w:val="Nessuno"/>
          <w:outline w:val="0"/>
          <w:color w:val="0000ff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che di essi restano nel proprio ambiente.</w:t>
      </w:r>
    </w:p>
    <w:sectPr>
      <w:headerReference w:type="default" r:id="rId4"/>
      <w:footerReference w:type="default" r:id="rId5"/>
      <w:pgSz w:w="11900" w:h="16840" w:orient="portrait"/>
      <w:pgMar w:top="1105" w:right="794" w:bottom="1105" w:left="794" w:header="680" w:footer="68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5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3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0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7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4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1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9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